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7E0" w:rsidRDefault="00E007E0" w:rsidP="00E007E0">
      <w:pPr>
        <w:pStyle w:val="Default"/>
      </w:pPr>
    </w:p>
    <w:p w:rsidR="009A70EE" w:rsidRPr="009A70EE" w:rsidRDefault="003E208B" w:rsidP="00E007E0">
      <w:pPr>
        <w:pStyle w:val="Default"/>
        <w:rPr>
          <w:rFonts w:ascii="Broadway" w:hAnsi="Broadway"/>
        </w:rPr>
      </w:pPr>
      <w:r>
        <w:t xml:space="preserve">                   </w:t>
      </w:r>
      <w:r w:rsidR="009A70EE">
        <w:t xml:space="preserve"> </w:t>
      </w:r>
      <w:r w:rsidR="00143AA0" w:rsidRPr="009A70EE">
        <w:rPr>
          <w:rFonts w:ascii="Broadway" w:hAnsi="Broadway"/>
          <w:b/>
          <w:bCs/>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Provozn</w:t>
      </w:r>
      <w:r w:rsidR="00143AA0" w:rsidRPr="009A70EE">
        <w:rPr>
          <w:rFonts w:ascii="Times New Roman" w:hAnsi="Times New Roman" w:cs="Times New Roman"/>
          <w:b/>
          <w:bCs/>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ě</w:t>
      </w:r>
      <w:r w:rsidR="00143AA0" w:rsidRPr="009A70EE">
        <w:rPr>
          <w:rFonts w:ascii="Broadway" w:hAnsi="Broadway"/>
          <w:b/>
          <w:bCs/>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manipula</w:t>
      </w:r>
      <w:r w:rsidR="00143AA0" w:rsidRPr="009A70EE">
        <w:rPr>
          <w:rFonts w:ascii="Times New Roman" w:hAnsi="Times New Roman" w:cs="Times New Roman"/>
          <w:b/>
          <w:bCs/>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č</w:t>
      </w:r>
      <w:r w:rsidR="00143AA0" w:rsidRPr="009A70EE">
        <w:rPr>
          <w:rFonts w:ascii="Broadway" w:hAnsi="Broadway"/>
          <w:b/>
          <w:bCs/>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w:t>
      </w:r>
      <w:r w:rsidR="00143AA0" w:rsidRPr="009A70EE">
        <w:rPr>
          <w:rFonts w:ascii="Broadway" w:hAnsi="Broadway" w:cs="Broadway"/>
          <w:b/>
          <w:bCs/>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í</w:t>
      </w:r>
      <w:r w:rsidR="00143AA0" w:rsidRPr="009A70EE">
        <w:rPr>
          <w:rFonts w:ascii="Broadway" w:hAnsi="Broadway"/>
          <w:b/>
          <w:bCs/>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E007E0" w:rsidRPr="009A70EE">
        <w:rPr>
          <w:rFonts w:ascii="Times New Roman" w:hAnsi="Times New Roman" w:cs="Times New Roman"/>
          <w:b/>
          <w:bCs/>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ř</w:t>
      </w:r>
      <w:r w:rsidR="00E007E0" w:rsidRPr="009A70EE">
        <w:rPr>
          <w:rFonts w:ascii="Broadway" w:hAnsi="Broadway" w:cs="Broadway"/>
          <w:b/>
          <w:bCs/>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á</w:t>
      </w:r>
      <w:r w:rsidR="00E007E0" w:rsidRPr="009A70EE">
        <w:rPr>
          <w:rFonts w:ascii="Broadway" w:hAnsi="Broadway"/>
          <w:b/>
          <w:bCs/>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w:t>
      </w:r>
    </w:p>
    <w:p w:rsidR="00E007E0" w:rsidRPr="009A70EE" w:rsidRDefault="009A70EE" w:rsidP="00E007E0">
      <w:pPr>
        <w:pStyle w:val="Default"/>
        <w:rPr>
          <w:rFonts w:ascii="Book Antiqua" w:hAnsi="Book Antiqua"/>
          <w:b/>
          <w:bCs/>
          <w:sz w:val="32"/>
          <w:szCs w:val="32"/>
        </w:rPr>
      </w:pPr>
      <w:r>
        <w:rPr>
          <w:rFonts w:ascii="Book Antiqua" w:hAnsi="Book Antiqua"/>
          <w:b/>
          <w:bCs/>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bookmarkStart w:id="0" w:name="_GoBack"/>
      <w:bookmarkEnd w:id="0"/>
      <w:r w:rsidR="00C74918">
        <w:rPr>
          <w:rFonts w:ascii="Book Antiqua" w:hAnsi="Book Antiqua"/>
          <w:b/>
          <w:bCs/>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Book Antiqua" w:hAnsi="Book Antiqua"/>
          <w:b/>
          <w:bCs/>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E007E0" w:rsidRDefault="003E208B" w:rsidP="00E007E0">
      <w:pPr>
        <w:pStyle w:val="Default"/>
        <w:rPr>
          <w:rFonts w:ascii="Broadway" w:hAnsi="Broadway"/>
          <w:b/>
          <w:sz w:val="36"/>
          <w:szCs w:val="36"/>
        </w:rPr>
      </w:pPr>
      <w:r>
        <w:rPr>
          <w:rFonts w:ascii="Broadway" w:hAnsi="Broadway"/>
          <w:b/>
          <w:sz w:val="36"/>
          <w:szCs w:val="36"/>
        </w:rPr>
        <w:t xml:space="preserve">                            </w:t>
      </w:r>
      <w:r w:rsidR="009A70EE" w:rsidRPr="00AD11EB">
        <w:rPr>
          <w:rFonts w:ascii="Broadway" w:hAnsi="Broadway"/>
          <w:b/>
          <w:color w:val="4F81BD" w:themeColor="accent1"/>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Septik t</w:t>
      </w:r>
      <w:r w:rsidR="009A70EE" w:rsidRPr="00AD11EB">
        <w:rPr>
          <w:rFonts w:ascii="Times New Roman" w:hAnsi="Times New Roman" w:cs="Times New Roman"/>
          <w:b/>
          <w:color w:val="4F81BD" w:themeColor="accent1"/>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ř</w:t>
      </w:r>
      <w:r w:rsidR="009A70EE" w:rsidRPr="00AD11EB">
        <w:rPr>
          <w:rFonts w:ascii="Broadway" w:hAnsi="Broadway" w:cs="Broadway"/>
          <w:b/>
          <w:color w:val="4F81BD" w:themeColor="accent1"/>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í</w:t>
      </w:r>
      <w:r w:rsidR="009A70EE" w:rsidRPr="00AD11EB">
        <w:rPr>
          <w:rFonts w:ascii="Broadway" w:hAnsi="Broadway"/>
          <w:b/>
          <w:color w:val="4F81BD" w:themeColor="accent1"/>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komorov</w:t>
      </w:r>
      <w:r w:rsidR="009A70EE" w:rsidRPr="00AD11EB">
        <w:rPr>
          <w:rFonts w:ascii="Broadway" w:hAnsi="Broadway" w:cs="Broadway"/>
          <w:b/>
          <w:color w:val="4F81BD" w:themeColor="accent1"/>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ý</w:t>
      </w:r>
    </w:p>
    <w:p w:rsidR="009A70EE" w:rsidRPr="009A70EE" w:rsidRDefault="009A70EE" w:rsidP="00E007E0">
      <w:pPr>
        <w:pStyle w:val="Default"/>
        <w:rPr>
          <w:rFonts w:ascii="Broadway" w:hAnsi="Broadway"/>
          <w:b/>
          <w:sz w:val="36"/>
          <w:szCs w:val="36"/>
        </w:rPr>
      </w:pPr>
    </w:p>
    <w:p w:rsidR="003E208B" w:rsidRPr="003E208B" w:rsidRDefault="00E007E0" w:rsidP="003E208B">
      <w:pPr>
        <w:pStyle w:val="Default"/>
        <w:numPr>
          <w:ilvl w:val="0"/>
          <w:numId w:val="1"/>
        </w:numPr>
        <w:spacing w:after="50"/>
        <w:rPr>
          <w:b/>
          <w:i/>
        </w:rPr>
      </w:pPr>
      <w:r w:rsidRPr="003E208B">
        <w:rPr>
          <w:b/>
          <w:i/>
          <w:color w:val="0D0D0D" w:themeColor="text1" w:themeTint="F2"/>
          <w14:textOutline w14:w="5270" w14:cap="flat" w14:cmpd="sng" w14:algn="ctr">
            <w14:solidFill>
              <w14:schemeClr w14:val="accent1">
                <w14:shade w14:val="88000"/>
                <w14:satMod w14:val="110000"/>
              </w14:schemeClr>
            </w14:solidFill>
            <w14:prstDash w14:val="solid"/>
            <w14:round/>
          </w14:textOutline>
        </w:rPr>
        <w:t>Co jsou odpadní vody</w:t>
      </w:r>
      <w:r w:rsidR="009A70EE" w:rsidRPr="003E208B">
        <w:rPr>
          <w:b/>
          <w:i/>
          <w:color w:val="0D0D0D" w:themeColor="text1" w:themeTint="F2"/>
          <w14:textOutline w14:w="5270" w14:cap="flat" w14:cmpd="sng" w14:algn="ctr">
            <w14:solidFill>
              <w14:schemeClr w14:val="accent1">
                <w14:shade w14:val="88000"/>
                <w14:satMod w14:val="110000"/>
              </w14:schemeClr>
            </w14:solidFill>
            <w14:prstDash w14:val="solid"/>
            <w14:round/>
          </w14:textOutline>
        </w:rPr>
        <w:t>?</w:t>
      </w:r>
      <w:r w:rsidR="003E208B">
        <w:rPr>
          <w:b/>
          <w:i/>
          <w:color w:val="0D0D0D" w:themeColor="text1" w:themeTint="F2"/>
          <w14:textOutline w14:w="5270" w14:cap="flat" w14:cmpd="sng" w14:algn="ctr">
            <w14:solidFill>
              <w14:schemeClr w14:val="accent1">
                <w14:shade w14:val="88000"/>
                <w14:satMod w14:val="110000"/>
              </w14:schemeClr>
            </w14:solidFill>
            <w14:prstDash w14:val="solid"/>
            <w14:round/>
          </w14:textOutline>
        </w:rPr>
        <w:t xml:space="preserve"> </w:t>
      </w:r>
    </w:p>
    <w:p w:rsidR="003E208B" w:rsidRPr="003E208B" w:rsidRDefault="003E208B" w:rsidP="003E208B">
      <w:pPr>
        <w:pStyle w:val="Default"/>
        <w:spacing w:after="50"/>
        <w:ind w:left="644"/>
        <w:rPr>
          <w:b/>
          <w:i/>
        </w:rPr>
      </w:pPr>
      <w:r>
        <w:rPr>
          <w:i/>
        </w:rPr>
        <w:t>V</w:t>
      </w:r>
      <w:r w:rsidR="00E007E0" w:rsidRPr="003E208B">
        <w:rPr>
          <w:i/>
        </w:rPr>
        <w:t xml:space="preserve">eškeré znečištěné vody z provozu domácností nebo provozoven, tzn. z koupelny, WC, kuchyně, prádelny a dalších prostor, kde může taková voda vznikat. Všechny tyto odpadní vody musí být předčištěny před jejich vypuštěním do kanalizace. </w:t>
      </w:r>
    </w:p>
    <w:p w:rsidR="003E208B" w:rsidRPr="003E208B" w:rsidRDefault="00E007E0" w:rsidP="003E208B">
      <w:pPr>
        <w:pStyle w:val="Default"/>
        <w:numPr>
          <w:ilvl w:val="0"/>
          <w:numId w:val="1"/>
        </w:numPr>
        <w:spacing w:after="50"/>
        <w:rPr>
          <w:i/>
        </w:rPr>
      </w:pPr>
      <w:r w:rsidRPr="003E208B">
        <w:rPr>
          <w:i/>
        </w:rPr>
        <w:t xml:space="preserve">Do septiku nesmí být zaústěny žádné dešťové vody nebo např. přepady ze studní. </w:t>
      </w:r>
    </w:p>
    <w:p w:rsidR="003E208B" w:rsidRPr="003E208B" w:rsidRDefault="00E007E0" w:rsidP="003E208B">
      <w:pPr>
        <w:pStyle w:val="Default"/>
        <w:numPr>
          <w:ilvl w:val="0"/>
          <w:numId w:val="1"/>
        </w:numPr>
        <w:spacing w:after="50"/>
        <w:rPr>
          <w:i/>
        </w:rPr>
      </w:pPr>
      <w:r w:rsidRPr="003E208B">
        <w:rPr>
          <w:i/>
        </w:rPr>
        <w:t xml:space="preserve">Biologický septik je obvykle tvořen dvěma nebo třemi komorami. Jednotlivé komory jsou navzájem odděleny příčkami opatřenými otvory. Horní hrana otvorů musí být alespoň 0,3 m nad hladinou a dolní hrana nejméně 0,4 m nade dnem. V první největší komoře dochází k intenzivnímu usazování kalu na dně a plovoucího kalu na hladině. V druhé a třetí komoře probíhá další sedimentace a biologický proces. </w:t>
      </w:r>
    </w:p>
    <w:p w:rsidR="003E208B" w:rsidRPr="003E208B" w:rsidRDefault="00E007E0" w:rsidP="003E208B">
      <w:pPr>
        <w:pStyle w:val="Default"/>
        <w:numPr>
          <w:ilvl w:val="0"/>
          <w:numId w:val="1"/>
        </w:numPr>
        <w:spacing w:after="50"/>
        <w:rPr>
          <w:i/>
        </w:rPr>
      </w:pPr>
      <w:r w:rsidRPr="003E208B">
        <w:rPr>
          <w:i/>
        </w:rPr>
        <w:t xml:space="preserve">Na odtoku odpadních vod ze septiku musí být před odtokovým potrubím osazena přes hladinu vody norná stěna nebo musí být na odtokové potrubí osazeno kanalizační potrubí v úhlu 90° (koleno), zapuštěné pod hladinu vody, aby bylo zabráněno odtoku plovoucích nečistot do kanalizace. Toto opatření má zabránit odtoku plovoucího kalu do septiku. To samé musí být na přítoku odpadních vod do septiku, aby byl nucen kal sedimentovat. </w:t>
      </w:r>
    </w:p>
    <w:p w:rsidR="003E208B" w:rsidRPr="003E208B" w:rsidRDefault="00E007E0" w:rsidP="003E208B">
      <w:pPr>
        <w:pStyle w:val="Default"/>
        <w:numPr>
          <w:ilvl w:val="0"/>
          <w:numId w:val="1"/>
        </w:numPr>
        <w:spacing w:after="50"/>
        <w:rPr>
          <w:i/>
        </w:rPr>
      </w:pPr>
      <w:r w:rsidRPr="003E208B">
        <w:rPr>
          <w:i/>
        </w:rPr>
        <w:t xml:space="preserve">Do každé komory septiku musí být zajištěn přístup otvory ve stropě septiku. Světlost otvorů musí být nejméně 600x600 mm. Vstupní otvory musí být zakryty odnímatelnými a zabezpečenými poklopy nebo stropními deskami. Tyto poklopy (stropní desky) musí zůstat trvale přístupné, tzn. </w:t>
      </w:r>
      <w:r w:rsidRPr="003E208B">
        <w:rPr>
          <w:b/>
          <w:bCs/>
          <w:i/>
          <w:color w:val="0D0D0D" w:themeColor="text1" w:themeTint="F2"/>
          <w14:textOutline w14:w="5270" w14:cap="flat" w14:cmpd="sng" w14:algn="ctr">
            <w14:solidFill>
              <w14:schemeClr w14:val="accent1">
                <w14:shade w14:val="88000"/>
                <w14:satMod w14:val="110000"/>
              </w14:schemeClr>
            </w14:solidFill>
            <w14:prstDash w14:val="solid"/>
            <w14:round/>
          </w14:textOutline>
        </w:rPr>
        <w:t xml:space="preserve">nezakryté zeminou! </w:t>
      </w:r>
    </w:p>
    <w:p w:rsidR="00E007E0" w:rsidRPr="003E208B" w:rsidRDefault="00E007E0" w:rsidP="00E007E0">
      <w:pPr>
        <w:pStyle w:val="Default"/>
        <w:numPr>
          <w:ilvl w:val="0"/>
          <w:numId w:val="1"/>
        </w:numPr>
        <w:spacing w:after="50"/>
        <w:rPr>
          <w:i/>
        </w:rPr>
      </w:pPr>
      <w:r w:rsidRPr="003E208B">
        <w:rPr>
          <w:i/>
        </w:rPr>
        <w:t>Septik má být vyvezen, jakmile výška kalu v první komoře septiku dosáhne jedné třetiny užitné výšky (tj. od dna k přítokovému potrubí septiku</w:t>
      </w:r>
      <w:r w:rsidRPr="003E208B">
        <w:rPr>
          <w:i/>
          <w:color w:val="0D0D0D" w:themeColor="text1" w:themeTint="F2"/>
        </w:rPr>
        <w:t xml:space="preserve">), </w:t>
      </w:r>
      <w:r w:rsidRPr="003E208B">
        <w:rPr>
          <w:b/>
          <w:bCs/>
          <w:i/>
          <w:color w:val="0D0D0D" w:themeColor="text1" w:themeTint="F2"/>
          <w14:textOutline w14:w="5270" w14:cap="flat" w14:cmpd="sng" w14:algn="ctr">
            <w14:solidFill>
              <w14:schemeClr w14:val="accent1">
                <w14:shade w14:val="88000"/>
                <w14:satMod w14:val="110000"/>
              </w14:schemeClr>
            </w14:solidFill>
            <w14:prstDash w14:val="solid"/>
            <w14:round/>
          </w14:textOutline>
        </w:rPr>
        <w:t>minimálně však jednou ročně. Vyvezení odpadních vod a kalu ze septiku musí provést výhradně firma k tomu oprávněná, která zajistí odvoz na některou velkou čistírnu odpadních vod</w:t>
      </w:r>
      <w:r w:rsidRPr="003E208B">
        <w:rPr>
          <w:b/>
          <w:bCs/>
          <w:i/>
        </w:rPr>
        <w:t xml:space="preserve">. </w:t>
      </w:r>
      <w:r w:rsidRPr="003E208B">
        <w:rPr>
          <w:i/>
        </w:rPr>
        <w:t xml:space="preserve">Jiný způsob likvidace obsahu septiku není přípustný. Doklad o vyvezení je nutné uchovat po dobu min. 5 let. V případě výzvy provozovatele kanalizace (obce) je nutné kopii dokladu o vyvezení předložit na obecní úřad. </w:t>
      </w:r>
    </w:p>
    <w:p w:rsidR="00E007E0" w:rsidRPr="003E208B" w:rsidRDefault="00E007E0" w:rsidP="00E007E0">
      <w:pPr>
        <w:pStyle w:val="Default"/>
        <w:numPr>
          <w:ilvl w:val="0"/>
          <w:numId w:val="1"/>
        </w:numPr>
        <w:spacing w:after="50"/>
        <w:rPr>
          <w:i/>
        </w:rPr>
      </w:pPr>
      <w:r w:rsidRPr="003E208B">
        <w:rPr>
          <w:i/>
        </w:rPr>
        <w:t xml:space="preserve">Při vyvezení obsahu septiku se musí na dně ponechat cca 15 cm vrstva vyhnilého kalu jako očkovací kal pro další proces čištění nově přitékajících odpadních vod. </w:t>
      </w:r>
    </w:p>
    <w:p w:rsidR="00E007E0" w:rsidRPr="003E208B" w:rsidRDefault="00E007E0" w:rsidP="00E007E0">
      <w:pPr>
        <w:pStyle w:val="Default"/>
        <w:numPr>
          <w:ilvl w:val="0"/>
          <w:numId w:val="1"/>
        </w:numPr>
        <w:spacing w:after="50"/>
        <w:rPr>
          <w:i/>
        </w:rPr>
      </w:pPr>
      <w:r w:rsidRPr="003E208B">
        <w:rPr>
          <w:i/>
        </w:rPr>
        <w:t xml:space="preserve">Po vyvezení septiku je nutno jej naplnit čistou vodou a teprve pak začít z domu vypouštět odpadní vody. </w:t>
      </w:r>
    </w:p>
    <w:p w:rsidR="00E007E0" w:rsidRPr="003E208B" w:rsidRDefault="00E007E0" w:rsidP="00E007E0">
      <w:pPr>
        <w:pStyle w:val="Default"/>
        <w:numPr>
          <w:ilvl w:val="0"/>
          <w:numId w:val="1"/>
        </w:numPr>
        <w:spacing w:after="50"/>
        <w:rPr>
          <w:i/>
        </w:rPr>
      </w:pPr>
      <w:r w:rsidRPr="003E208B">
        <w:rPr>
          <w:i/>
        </w:rPr>
        <w:t xml:space="preserve">Přítokové potrubí do septiku i celá trasa splaškové kanalizace musí být udržována volná, bez nánosu a ulpělých částic. </w:t>
      </w:r>
    </w:p>
    <w:p w:rsidR="00E007E0" w:rsidRPr="003E208B" w:rsidRDefault="00E007E0" w:rsidP="00E007E0">
      <w:pPr>
        <w:pStyle w:val="Default"/>
        <w:numPr>
          <w:ilvl w:val="0"/>
          <w:numId w:val="1"/>
        </w:numPr>
        <w:spacing w:after="50"/>
        <w:rPr>
          <w:i/>
        </w:rPr>
      </w:pPr>
      <w:r w:rsidRPr="003E208B">
        <w:rPr>
          <w:i/>
        </w:rPr>
        <w:t xml:space="preserve">Do septiku nesmí přitékat vody znečištěné toxickými látkami, olejem, naftou, močůvka, bahno, písek a vody nadměrně znečištěné tuky. Dále </w:t>
      </w:r>
      <w:proofErr w:type="gramStart"/>
      <w:r w:rsidRPr="003E208B">
        <w:rPr>
          <w:i/>
        </w:rPr>
        <w:t>nesmí</w:t>
      </w:r>
      <w:proofErr w:type="gramEnd"/>
      <w:r w:rsidRPr="003E208B">
        <w:rPr>
          <w:i/>
        </w:rPr>
        <w:t xml:space="preserve"> do septiku přitékat voda s obsahem dezinfekčních přípravků na bázi chloru např. </w:t>
      </w:r>
      <w:proofErr w:type="gramStart"/>
      <w:r w:rsidRPr="003E208B">
        <w:rPr>
          <w:i/>
        </w:rPr>
        <w:t>Savo</w:t>
      </w:r>
      <w:proofErr w:type="gramEnd"/>
      <w:r w:rsidRPr="003E208B">
        <w:rPr>
          <w:i/>
        </w:rPr>
        <w:t xml:space="preserve">, </w:t>
      </w:r>
      <w:proofErr w:type="spellStart"/>
      <w:r w:rsidRPr="003E208B">
        <w:rPr>
          <w:i/>
        </w:rPr>
        <w:t>Domestos</w:t>
      </w:r>
      <w:proofErr w:type="spellEnd"/>
      <w:r w:rsidRPr="003E208B">
        <w:rPr>
          <w:i/>
        </w:rPr>
        <w:t xml:space="preserve"> apod. - tyto zničí biologický proces čištění odpadních vod. </w:t>
      </w:r>
    </w:p>
    <w:p w:rsidR="00E007E0" w:rsidRPr="003E208B" w:rsidRDefault="00E007E0" w:rsidP="003E208B">
      <w:pPr>
        <w:pStyle w:val="Default"/>
        <w:rPr>
          <w:b/>
          <w:i/>
          <w:color w:val="0D0D0D" w:themeColor="text1" w:themeTint="F2"/>
          <w14:textOutline w14:w="5270" w14:cap="flat" w14:cmpd="sng" w14:algn="ctr">
            <w14:solidFill>
              <w14:schemeClr w14:val="accent1">
                <w14:shade w14:val="88000"/>
                <w14:satMod w14:val="110000"/>
              </w14:schemeClr>
            </w14:solidFill>
            <w14:prstDash w14:val="solid"/>
            <w14:round/>
          </w14:textOutline>
        </w:rPr>
      </w:pPr>
      <w:r w:rsidRPr="003E208B">
        <w:rPr>
          <w:b/>
          <w:i/>
          <w:color w:val="0D0D0D" w:themeColor="text1" w:themeTint="F2"/>
          <w14:textOutline w14:w="5270" w14:cap="flat" w14:cmpd="sng" w14:algn="ctr">
            <w14:solidFill>
              <w14:schemeClr w14:val="accent1">
                <w14:shade w14:val="88000"/>
                <w14:satMod w14:val="110000"/>
              </w14:schemeClr>
            </w14:solidFill>
            <w14:prstDash w14:val="solid"/>
            <w14:round/>
          </w14:textOutline>
        </w:rPr>
        <w:t xml:space="preserve">Kontrola kvality a množství vypouštěných odpadních vod se řídí aktuálním </w:t>
      </w:r>
      <w:proofErr w:type="gramStart"/>
      <w:r w:rsidRPr="003E208B">
        <w:rPr>
          <w:b/>
          <w:i/>
          <w:color w:val="0D0D0D" w:themeColor="text1" w:themeTint="F2"/>
          <w14:textOutline w14:w="5270" w14:cap="flat" w14:cmpd="sng" w14:algn="ctr">
            <w14:solidFill>
              <w14:schemeClr w14:val="accent1">
                <w14:shade w14:val="88000"/>
                <w14:satMod w14:val="110000"/>
              </w14:schemeClr>
            </w14:solidFill>
            <w14:prstDash w14:val="solid"/>
            <w14:round/>
          </w14:textOutline>
        </w:rPr>
        <w:t xml:space="preserve">schváleným </w:t>
      </w:r>
      <w:r w:rsidR="003E208B">
        <w:rPr>
          <w:b/>
          <w:i/>
          <w:color w:val="0D0D0D" w:themeColor="text1" w:themeTint="F2"/>
          <w14:textOutline w14:w="5270" w14:cap="flat" w14:cmpd="sng" w14:algn="ctr">
            <w14:solidFill>
              <w14:schemeClr w14:val="accent1">
                <w14:shade w14:val="88000"/>
                <w14:satMod w14:val="110000"/>
              </w14:schemeClr>
            </w14:solidFill>
            <w14:prstDash w14:val="solid"/>
            <w14:round/>
          </w14:textOutline>
        </w:rPr>
        <w:t xml:space="preserve">                                                                                   </w:t>
      </w:r>
      <w:r w:rsidRPr="003E208B">
        <w:rPr>
          <w:b/>
          <w:i/>
          <w:color w:val="0D0D0D" w:themeColor="text1" w:themeTint="F2"/>
          <w14:textOutline w14:w="5270" w14:cap="flat" w14:cmpd="sng" w14:algn="ctr">
            <w14:solidFill>
              <w14:schemeClr w14:val="accent1">
                <w14:shade w14:val="88000"/>
                <w14:satMod w14:val="110000"/>
              </w14:schemeClr>
            </w14:solidFill>
            <w14:prstDash w14:val="solid"/>
            <w14:round/>
          </w14:textOutline>
        </w:rPr>
        <w:t>kanalizačním</w:t>
      </w:r>
      <w:proofErr w:type="gramEnd"/>
      <w:r w:rsidRPr="003E208B">
        <w:rPr>
          <w:b/>
          <w:i/>
          <w:color w:val="0D0D0D" w:themeColor="text1" w:themeTint="F2"/>
          <w14:textOutline w14:w="5270" w14:cap="flat" w14:cmpd="sng" w14:algn="ctr">
            <w14:solidFill>
              <w14:schemeClr w14:val="accent1">
                <w14:shade w14:val="88000"/>
                <w14:satMod w14:val="110000"/>
              </w14:schemeClr>
            </w14:solidFill>
            <w14:prstDash w14:val="solid"/>
            <w14:round/>
          </w14:textOutline>
        </w:rPr>
        <w:t xml:space="preserve"> řádem obce, do kterého je možné nahlédnout na obecním úřadě. </w:t>
      </w:r>
    </w:p>
    <w:p w:rsidR="004344C3" w:rsidRDefault="004344C3"/>
    <w:sectPr w:rsidR="004344C3" w:rsidSect="009A70EE">
      <w:headerReference w:type="default" r:id="rId9"/>
      <w:footerReference w:type="default" r:id="rId10"/>
      <w:pgSz w:w="11905" w:h="17340"/>
      <w:pgMar w:top="1440" w:right="1080" w:bottom="1440" w:left="1080" w:header="397"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D49" w:rsidRDefault="00603D49" w:rsidP="00C74918">
      <w:pPr>
        <w:spacing w:after="0" w:line="240" w:lineRule="auto"/>
      </w:pPr>
      <w:r>
        <w:separator/>
      </w:r>
    </w:p>
  </w:endnote>
  <w:endnote w:type="continuationSeparator" w:id="0">
    <w:p w:rsidR="00603D49" w:rsidRDefault="00603D49" w:rsidP="00C74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918" w:rsidRPr="003E208B" w:rsidRDefault="003E208B">
    <w:pPr>
      <w:pStyle w:val="Zpat"/>
      <w:rPr>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rPr>
      <w:t xml:space="preserve">            </w:t>
    </w:r>
    <w:hyperlink r:id="rId1" w:history="1">
      <w:r w:rsidR="00C74918" w:rsidRPr="003E208B">
        <w:rPr>
          <w:rStyle w:val="Hypertextovodkaz"/>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www.ApoPlast.cz</w:t>
      </w:r>
    </w:hyperlink>
    <w:r w:rsidR="00C74918" w:rsidRPr="003E208B">
      <w:rPr>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C74918" w:rsidRPr="003E208B">
      <w:rPr>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hyperlink r:id="rId2" w:history="1">
      <w:r w:rsidR="00C74918" w:rsidRPr="003E208B">
        <w:rPr>
          <w:rStyle w:val="Hypertextovodkaz"/>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info@apoplast.cz</w:t>
      </w:r>
    </w:hyperlink>
    <w:r w:rsidR="00C74918" w:rsidRPr="003E208B">
      <w:rPr>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C74918" w:rsidRPr="003E208B">
      <w:rPr>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+420 774 258 390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D49" w:rsidRDefault="00603D49" w:rsidP="00C74918">
      <w:pPr>
        <w:spacing w:after="0" w:line="240" w:lineRule="auto"/>
      </w:pPr>
      <w:r>
        <w:separator/>
      </w:r>
    </w:p>
  </w:footnote>
  <w:footnote w:type="continuationSeparator" w:id="0">
    <w:p w:rsidR="00603D49" w:rsidRDefault="00603D49" w:rsidP="00C74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918" w:rsidRDefault="00C74918">
    <w:pPr>
      <w:pStyle w:val="Zhlav"/>
    </w:pPr>
    <w:r>
      <w:t xml:space="preserve">                                          </w:t>
    </w:r>
    <w:r w:rsidR="009A70EE">
      <w:t xml:space="preserve">        </w:t>
    </w:r>
    <w:r>
      <w:t xml:space="preserve">      </w:t>
    </w:r>
    <w:r w:rsidR="009A70EE">
      <w:rPr>
        <w:noProof/>
        <w:lang w:eastAsia="cs-CZ"/>
      </w:rPr>
      <w:drawing>
        <wp:inline distT="0" distB="0" distL="0" distR="0" wp14:anchorId="0DADC5A0" wp14:editId="5E834831">
          <wp:extent cx="2049958" cy="602032"/>
          <wp:effectExtent l="19050" t="0" r="26670" b="2362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oPlast velké.png"/>
                  <pic:cNvPicPr/>
                </pic:nvPicPr>
                <pic:blipFill>
                  <a:blip r:embed="rId1">
                    <a:extLst>
                      <a:ext uri="{28A0092B-C50C-407E-A947-70E740481C1C}">
                        <a14:useLocalDpi xmlns:a14="http://schemas.microsoft.com/office/drawing/2010/main" val="0"/>
                      </a:ext>
                    </a:extLst>
                  </a:blip>
                  <a:stretch>
                    <a:fillRect/>
                  </a:stretch>
                </pic:blipFill>
                <pic:spPr>
                  <a:xfrm>
                    <a:off x="0" y="0"/>
                    <a:ext cx="2049958" cy="60203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24BF4"/>
    <w:multiLevelType w:val="hybridMultilevel"/>
    <w:tmpl w:val="5F361FB2"/>
    <w:lvl w:ilvl="0" w:tplc="3F0AE916">
      <w:start w:val="1"/>
      <w:numFmt w:val="decimal"/>
      <w:lvlText w:val="%1)"/>
      <w:lvlJc w:val="lef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19C3F54"/>
    <w:multiLevelType w:val="hybridMultilevel"/>
    <w:tmpl w:val="592AF4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F51"/>
    <w:rsid w:val="00093C79"/>
    <w:rsid w:val="00143AA0"/>
    <w:rsid w:val="003E208B"/>
    <w:rsid w:val="004344C3"/>
    <w:rsid w:val="00603D49"/>
    <w:rsid w:val="009A70EE"/>
    <w:rsid w:val="00A45F62"/>
    <w:rsid w:val="00AD11EB"/>
    <w:rsid w:val="00C74918"/>
    <w:rsid w:val="00E007E0"/>
    <w:rsid w:val="00E95F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007E0"/>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E007E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07E0"/>
    <w:rPr>
      <w:rFonts w:ascii="Tahoma" w:hAnsi="Tahoma" w:cs="Tahoma"/>
      <w:sz w:val="16"/>
      <w:szCs w:val="16"/>
    </w:rPr>
  </w:style>
  <w:style w:type="paragraph" w:styleId="Zhlav">
    <w:name w:val="header"/>
    <w:basedOn w:val="Normln"/>
    <w:link w:val="ZhlavChar"/>
    <w:uiPriority w:val="99"/>
    <w:unhideWhenUsed/>
    <w:rsid w:val="00C749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4918"/>
  </w:style>
  <w:style w:type="paragraph" w:styleId="Zpat">
    <w:name w:val="footer"/>
    <w:basedOn w:val="Normln"/>
    <w:link w:val="ZpatChar"/>
    <w:uiPriority w:val="99"/>
    <w:unhideWhenUsed/>
    <w:rsid w:val="00C74918"/>
    <w:pPr>
      <w:tabs>
        <w:tab w:val="center" w:pos="4536"/>
        <w:tab w:val="right" w:pos="9072"/>
      </w:tabs>
      <w:spacing w:after="0" w:line="240" w:lineRule="auto"/>
    </w:pPr>
  </w:style>
  <w:style w:type="character" w:customStyle="1" w:styleId="ZpatChar">
    <w:name w:val="Zápatí Char"/>
    <w:basedOn w:val="Standardnpsmoodstavce"/>
    <w:link w:val="Zpat"/>
    <w:uiPriority w:val="99"/>
    <w:rsid w:val="00C74918"/>
  </w:style>
  <w:style w:type="character" w:styleId="Hypertextovodkaz">
    <w:name w:val="Hyperlink"/>
    <w:basedOn w:val="Standardnpsmoodstavce"/>
    <w:uiPriority w:val="99"/>
    <w:unhideWhenUsed/>
    <w:rsid w:val="00C74918"/>
    <w:rPr>
      <w:color w:val="0000FF" w:themeColor="hyperlink"/>
      <w:u w:val="single"/>
    </w:rPr>
  </w:style>
  <w:style w:type="paragraph" w:styleId="Odstavecseseznamem">
    <w:name w:val="List Paragraph"/>
    <w:basedOn w:val="Normln"/>
    <w:uiPriority w:val="34"/>
    <w:qFormat/>
    <w:rsid w:val="003E20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007E0"/>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E007E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07E0"/>
    <w:rPr>
      <w:rFonts w:ascii="Tahoma" w:hAnsi="Tahoma" w:cs="Tahoma"/>
      <w:sz w:val="16"/>
      <w:szCs w:val="16"/>
    </w:rPr>
  </w:style>
  <w:style w:type="paragraph" w:styleId="Zhlav">
    <w:name w:val="header"/>
    <w:basedOn w:val="Normln"/>
    <w:link w:val="ZhlavChar"/>
    <w:uiPriority w:val="99"/>
    <w:unhideWhenUsed/>
    <w:rsid w:val="00C749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4918"/>
  </w:style>
  <w:style w:type="paragraph" w:styleId="Zpat">
    <w:name w:val="footer"/>
    <w:basedOn w:val="Normln"/>
    <w:link w:val="ZpatChar"/>
    <w:uiPriority w:val="99"/>
    <w:unhideWhenUsed/>
    <w:rsid w:val="00C74918"/>
    <w:pPr>
      <w:tabs>
        <w:tab w:val="center" w:pos="4536"/>
        <w:tab w:val="right" w:pos="9072"/>
      </w:tabs>
      <w:spacing w:after="0" w:line="240" w:lineRule="auto"/>
    </w:pPr>
  </w:style>
  <w:style w:type="character" w:customStyle="1" w:styleId="ZpatChar">
    <w:name w:val="Zápatí Char"/>
    <w:basedOn w:val="Standardnpsmoodstavce"/>
    <w:link w:val="Zpat"/>
    <w:uiPriority w:val="99"/>
    <w:rsid w:val="00C74918"/>
  </w:style>
  <w:style w:type="character" w:styleId="Hypertextovodkaz">
    <w:name w:val="Hyperlink"/>
    <w:basedOn w:val="Standardnpsmoodstavce"/>
    <w:uiPriority w:val="99"/>
    <w:unhideWhenUsed/>
    <w:rsid w:val="00C74918"/>
    <w:rPr>
      <w:color w:val="0000FF" w:themeColor="hyperlink"/>
      <w:u w:val="single"/>
    </w:rPr>
  </w:style>
  <w:style w:type="paragraph" w:styleId="Odstavecseseznamem">
    <w:name w:val="List Paragraph"/>
    <w:basedOn w:val="Normln"/>
    <w:uiPriority w:val="34"/>
    <w:qFormat/>
    <w:rsid w:val="003E2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apoplast.cz" TargetMode="External"/><Relationship Id="rId1" Type="http://schemas.openxmlformats.org/officeDocument/2006/relationships/hyperlink" Target="http://www.ApoPlas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94CA6-F7E0-466D-864C-3D22077A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441</Words>
  <Characters>2605</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Lipták</dc:creator>
  <cp:keywords/>
  <dc:description/>
  <cp:lastModifiedBy>Roman Lipták</cp:lastModifiedBy>
  <cp:revision>7</cp:revision>
  <dcterms:created xsi:type="dcterms:W3CDTF">2020-07-14T11:24:00Z</dcterms:created>
  <dcterms:modified xsi:type="dcterms:W3CDTF">2020-09-11T02:03:00Z</dcterms:modified>
</cp:coreProperties>
</file>